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DE3CE" w14:textId="53906932" w:rsidR="002E6A65" w:rsidRDefault="004A4E93">
      <w:r>
        <w:t>Changes to Articles of Association</w:t>
      </w:r>
      <w:r w:rsidR="009F0D0E">
        <w:t xml:space="preserve"> (requiring member vote) </w:t>
      </w:r>
      <w:r w:rsidR="0008087A">
        <w:t xml:space="preserve">– </w:t>
      </w:r>
      <w:r w:rsidR="00F839DF">
        <w:t>September</w:t>
      </w:r>
      <w:r w:rsidR="00045E9E">
        <w:t xml:space="preserve"> 2021</w:t>
      </w:r>
    </w:p>
    <w:p w14:paraId="18A5321A" w14:textId="147FC300" w:rsidR="004A4E93" w:rsidRDefault="004A4E93"/>
    <w:p w14:paraId="2648C0DB" w14:textId="45ABC88E" w:rsidR="00F94D81" w:rsidRPr="007C3133" w:rsidRDefault="008A2F3F" w:rsidP="00CD35A4">
      <w:r w:rsidRPr="007C3133">
        <w:t>General</w:t>
      </w:r>
    </w:p>
    <w:p w14:paraId="6A39CD8B" w14:textId="6400B322" w:rsidR="008A2F3F" w:rsidRPr="007C3133" w:rsidRDefault="008A2F3F" w:rsidP="00CD35A4">
      <w:r w:rsidRPr="007C3133">
        <w:rPr>
          <w:b/>
          <w:bCs/>
        </w:rPr>
        <w:t xml:space="preserve">Gender neutrality – </w:t>
      </w:r>
      <w:r w:rsidRPr="007C3133">
        <w:t>All references to him/her/man etc have been amended to be gender neutral</w:t>
      </w:r>
    </w:p>
    <w:p w14:paraId="015CEC72" w14:textId="77777777" w:rsidR="008A2F3F" w:rsidRDefault="008A2F3F" w:rsidP="00CD35A4"/>
    <w:p w14:paraId="704AAD32" w14:textId="03C766B4" w:rsidR="00FA61B5" w:rsidRPr="00322B8E" w:rsidRDefault="00FA61B5" w:rsidP="00CD35A4">
      <w:r w:rsidRPr="00322B8E">
        <w:t xml:space="preserve">Article 2.1 </w:t>
      </w:r>
    </w:p>
    <w:p w14:paraId="13BBBCBE" w14:textId="5CC5670D" w:rsidR="00FA61B5" w:rsidRDefault="00FA61B5" w:rsidP="00CD35A4">
      <w:r w:rsidRPr="00322B8E">
        <w:rPr>
          <w:b/>
          <w:bCs/>
        </w:rPr>
        <w:t xml:space="preserve">Definition </w:t>
      </w:r>
      <w:r w:rsidR="00322B8E">
        <w:rPr>
          <w:b/>
          <w:bCs/>
        </w:rPr>
        <w:t xml:space="preserve">of “Member” – </w:t>
      </w:r>
      <w:r w:rsidR="00322B8E">
        <w:t>remove Honorary Member and Group Member</w:t>
      </w:r>
    </w:p>
    <w:p w14:paraId="1C0F4368" w14:textId="1099A38F" w:rsidR="00322B8E" w:rsidRDefault="00322B8E" w:rsidP="00CD35A4"/>
    <w:p w14:paraId="71244FF5" w14:textId="434BE5A1" w:rsidR="00322B8E" w:rsidRDefault="00322B8E" w:rsidP="00CD35A4">
      <w:r>
        <w:t>Rationale</w:t>
      </w:r>
    </w:p>
    <w:p w14:paraId="7D570D5A" w14:textId="1F21C5EE" w:rsidR="00FA61B5" w:rsidRDefault="00322B8E" w:rsidP="00CD35A4">
      <w:r>
        <w:t>To remove categories not utilised</w:t>
      </w:r>
    </w:p>
    <w:p w14:paraId="44171FA4" w14:textId="77777777" w:rsidR="00FA61B5" w:rsidRDefault="00FA61B5" w:rsidP="00CD35A4"/>
    <w:p w14:paraId="22A67ACD" w14:textId="04518131" w:rsidR="00680FE9" w:rsidRDefault="00680FE9" w:rsidP="00CD35A4">
      <w:r>
        <w:t>Article 2.1</w:t>
      </w:r>
      <w:r w:rsidR="007B49F5">
        <w:t xml:space="preserve"> </w:t>
      </w:r>
    </w:p>
    <w:p w14:paraId="3DDD9AB2" w14:textId="46B0737F" w:rsidR="00680FE9" w:rsidRDefault="00680FE9" w:rsidP="00680FE9">
      <w:r w:rsidRPr="00680FE9">
        <w:rPr>
          <w:b/>
          <w:bCs/>
        </w:rPr>
        <w:t>Definition of ‘Registered’</w:t>
      </w:r>
      <w:r>
        <w:t xml:space="preserve"> - remove the list of regulatory bodies under definition and reword</w:t>
      </w:r>
      <w:r w:rsidR="00045E9E">
        <w:t>: ‘</w:t>
      </w:r>
      <w:bookmarkStart w:id="0" w:name="_Hlk63237045"/>
      <w:r>
        <w:t>A person who is registered with one of the statutory regulatory bodies approved by the Board (a ‘Regulatory Body’</w:t>
      </w:r>
      <w:r w:rsidR="00045E9E">
        <w:t>)</w:t>
      </w:r>
      <w:bookmarkEnd w:id="0"/>
    </w:p>
    <w:p w14:paraId="3905CB13" w14:textId="38555696" w:rsidR="00680FE9" w:rsidRDefault="00680FE9" w:rsidP="00680FE9"/>
    <w:p w14:paraId="3CE79002" w14:textId="3503DE84" w:rsidR="00CA0D8B" w:rsidRPr="0008279B" w:rsidRDefault="00CA0D8B" w:rsidP="00680FE9">
      <w:r w:rsidRPr="0008279B">
        <w:t>Rationale</w:t>
      </w:r>
    </w:p>
    <w:p w14:paraId="707C2F37" w14:textId="0D75E172" w:rsidR="00CA0D8B" w:rsidRPr="0008279B" w:rsidRDefault="002C731E" w:rsidP="00680FE9">
      <w:r w:rsidRPr="0008279B">
        <w:t>To allow the Board to update the list of regulatory bodies when there are changes without a requirement to amend the Articles.</w:t>
      </w:r>
    </w:p>
    <w:p w14:paraId="7B86D75F" w14:textId="77777777" w:rsidR="0008279B" w:rsidRDefault="0008279B" w:rsidP="00680FE9"/>
    <w:p w14:paraId="49A30A89" w14:textId="286E59AA" w:rsidR="009F0D0E" w:rsidRDefault="009F0D0E" w:rsidP="009F0D0E">
      <w:r>
        <w:t>Article 6.3</w:t>
      </w:r>
      <w:r w:rsidR="008270AE">
        <w:t xml:space="preserve"> </w:t>
      </w:r>
      <w:r w:rsidR="006B442A">
        <w:t>,</w:t>
      </w:r>
      <w:r w:rsidR="008270AE">
        <w:t>9</w:t>
      </w:r>
      <w:r w:rsidR="006B442A">
        <w:t xml:space="preserve"> and 15.1</w:t>
      </w:r>
    </w:p>
    <w:p w14:paraId="0ED80F13" w14:textId="45D5E548" w:rsidR="009F0D0E" w:rsidRPr="0008087A" w:rsidRDefault="008270AE" w:rsidP="009F0D0E">
      <w:pPr>
        <w:rPr>
          <w:b/>
          <w:bCs/>
        </w:rPr>
      </w:pPr>
      <w:r>
        <w:rPr>
          <w:b/>
          <w:bCs/>
        </w:rPr>
        <w:t>Remove the category</w:t>
      </w:r>
      <w:r w:rsidR="009F0D0E" w:rsidRPr="0008087A">
        <w:rPr>
          <w:b/>
          <w:bCs/>
        </w:rPr>
        <w:t xml:space="preserve"> Honorary Members </w:t>
      </w:r>
    </w:p>
    <w:p w14:paraId="11C7158F" w14:textId="77777777" w:rsidR="009F0D0E" w:rsidRDefault="009F0D0E" w:rsidP="009F0D0E"/>
    <w:p w14:paraId="1D92D7A2" w14:textId="77777777" w:rsidR="009F0D0E" w:rsidRDefault="009F0D0E" w:rsidP="009F0D0E">
      <w:r>
        <w:t>Rationale</w:t>
      </w:r>
    </w:p>
    <w:p w14:paraId="3D67F3F6" w14:textId="39C9C2A3" w:rsidR="008270AE" w:rsidRDefault="008270AE" w:rsidP="008270AE">
      <w:r>
        <w:t>To remove category not utilised</w:t>
      </w:r>
    </w:p>
    <w:p w14:paraId="7FC3BC83" w14:textId="77777777" w:rsidR="009F0D0E" w:rsidRDefault="009F0D0E" w:rsidP="009F0D0E"/>
    <w:p w14:paraId="1323D91D" w14:textId="0C3CCBFF" w:rsidR="009F0D0E" w:rsidRDefault="009F0D0E" w:rsidP="009F0D0E">
      <w:r>
        <w:t>Article 6.4 and 11</w:t>
      </w:r>
      <w:r w:rsidR="007B49F5">
        <w:t xml:space="preserve">  </w:t>
      </w:r>
    </w:p>
    <w:p w14:paraId="614CFA2F" w14:textId="77777777" w:rsidR="009F0D0E" w:rsidRPr="0008087A" w:rsidRDefault="009F0D0E" w:rsidP="009F0D0E">
      <w:pPr>
        <w:rPr>
          <w:b/>
          <w:bCs/>
        </w:rPr>
      </w:pPr>
      <w:r w:rsidRPr="0008087A">
        <w:rPr>
          <w:b/>
          <w:bCs/>
        </w:rPr>
        <w:t>Remove the category Group Members</w:t>
      </w:r>
    </w:p>
    <w:p w14:paraId="6126D64E" w14:textId="77777777" w:rsidR="009F0D0E" w:rsidRDefault="009F0D0E" w:rsidP="009F0D0E"/>
    <w:p w14:paraId="29F86A7E" w14:textId="77777777" w:rsidR="009F0D0E" w:rsidRDefault="009F0D0E" w:rsidP="009F0D0E">
      <w:r>
        <w:t>Rationale</w:t>
      </w:r>
    </w:p>
    <w:p w14:paraId="3A1A3CCA" w14:textId="2CC49227" w:rsidR="009F0D0E" w:rsidRDefault="009F0D0E" w:rsidP="009F0D0E">
      <w:r>
        <w:t>This category was introduced to support future plans but has not been utilised.</w:t>
      </w:r>
    </w:p>
    <w:p w14:paraId="0C27AF6C" w14:textId="6981801F" w:rsidR="00673BA2" w:rsidRDefault="00673BA2" w:rsidP="009F0D0E"/>
    <w:p w14:paraId="0166D594" w14:textId="136AB4E1" w:rsidR="00673BA2" w:rsidRPr="0008279B" w:rsidRDefault="00673BA2" w:rsidP="00673BA2">
      <w:r w:rsidRPr="0008279B">
        <w:t>Article 23</w:t>
      </w:r>
    </w:p>
    <w:p w14:paraId="611C4456" w14:textId="7FA9DAE6" w:rsidR="00673BA2" w:rsidRPr="0008279B" w:rsidRDefault="00673BA2" w:rsidP="00673BA2">
      <w:r w:rsidRPr="0008279B">
        <w:rPr>
          <w:b/>
          <w:bCs/>
        </w:rPr>
        <w:t>Reword</w:t>
      </w:r>
      <w:r w:rsidR="00C27C8D">
        <w:rPr>
          <w:b/>
          <w:bCs/>
        </w:rPr>
        <w:t xml:space="preserve"> </w:t>
      </w:r>
      <w:r w:rsidRPr="0008279B">
        <w:rPr>
          <w:b/>
          <w:bCs/>
        </w:rPr>
        <w:t>’on which he ceased to be a Member’ to read … ‘until the end of the membership term’.</w:t>
      </w:r>
    </w:p>
    <w:p w14:paraId="14769294" w14:textId="77777777" w:rsidR="00673BA2" w:rsidRPr="0008279B" w:rsidRDefault="00673BA2" w:rsidP="00673BA2"/>
    <w:p w14:paraId="23E1F5F5" w14:textId="77777777" w:rsidR="00673BA2" w:rsidRPr="0008279B" w:rsidRDefault="00673BA2" w:rsidP="00673BA2">
      <w:r w:rsidRPr="0008279B">
        <w:t>Rationale</w:t>
      </w:r>
    </w:p>
    <w:p w14:paraId="2EA588B4" w14:textId="77777777" w:rsidR="00673BA2" w:rsidRPr="0008279B" w:rsidRDefault="00673BA2" w:rsidP="00673BA2">
      <w:r w:rsidRPr="0008279B">
        <w:t xml:space="preserve">To clarify that membership is for an agreed term of one year and not when a member may ‘cease’ to make payment </w:t>
      </w:r>
      <w:proofErr w:type="spellStart"/>
      <w:proofErr w:type="gramStart"/>
      <w:r w:rsidRPr="0008279B">
        <w:t>ie</w:t>
      </w:r>
      <w:proofErr w:type="spellEnd"/>
      <w:proofErr w:type="gramEnd"/>
      <w:r w:rsidRPr="0008279B">
        <w:t xml:space="preserve"> cancel any direct debit transaction.</w:t>
      </w:r>
    </w:p>
    <w:p w14:paraId="3D24D8EF" w14:textId="77777777" w:rsidR="009F0D0E" w:rsidRDefault="009F0D0E" w:rsidP="00680FE9"/>
    <w:p w14:paraId="238FFA78" w14:textId="50156126" w:rsidR="006C538C" w:rsidRDefault="006C538C" w:rsidP="006C538C">
      <w:r>
        <w:t>Article 26</w:t>
      </w:r>
    </w:p>
    <w:p w14:paraId="28BFB390" w14:textId="7EEF36EB" w:rsidR="006C538C" w:rsidRPr="009F0D0E" w:rsidRDefault="006C538C" w:rsidP="006C538C">
      <w:pPr>
        <w:rPr>
          <w:b/>
          <w:bCs/>
        </w:rPr>
      </w:pPr>
      <w:r w:rsidRPr="009F0D0E">
        <w:rPr>
          <w:b/>
          <w:bCs/>
        </w:rPr>
        <w:t>Remove 26.1; 26.2; 26.3; 26.5</w:t>
      </w:r>
    </w:p>
    <w:p w14:paraId="3A1ADD37" w14:textId="33A56CF5" w:rsidR="006C538C" w:rsidRDefault="006C538C" w:rsidP="006C538C"/>
    <w:p w14:paraId="6C51D502" w14:textId="3A5749D4" w:rsidR="006C538C" w:rsidRDefault="006C538C" w:rsidP="006C538C">
      <w:r>
        <w:t>Rationale</w:t>
      </w:r>
    </w:p>
    <w:p w14:paraId="41B8298D" w14:textId="63B5EEE3" w:rsidR="006C538C" w:rsidRDefault="006C538C" w:rsidP="006C538C">
      <w:r>
        <w:t xml:space="preserve">The role of the Regional Teams has changed in </w:t>
      </w:r>
      <w:r w:rsidRPr="0008279B">
        <w:t>particular</w:t>
      </w:r>
      <w:r w:rsidRPr="0008279B">
        <w:rPr>
          <w:color w:val="FF0000"/>
        </w:rPr>
        <w:t xml:space="preserve"> </w:t>
      </w:r>
      <w:r>
        <w:t>more support</w:t>
      </w:r>
      <w:r w:rsidR="0008279B">
        <w:t xml:space="preserve"> is</w:t>
      </w:r>
      <w:r>
        <w:t xml:space="preserve"> provided by HQ.  Remit to be included within the PPM to allow flexibility as this role changes to support regional activities.</w:t>
      </w:r>
    </w:p>
    <w:p w14:paraId="324E4160" w14:textId="7F2EC4F5" w:rsidR="006C538C" w:rsidRDefault="006C538C" w:rsidP="006C538C"/>
    <w:p w14:paraId="4046D6FA" w14:textId="3D45ACF2" w:rsidR="006C538C" w:rsidRDefault="006C538C" w:rsidP="006C538C">
      <w:r>
        <w:t xml:space="preserve">Article </w:t>
      </w:r>
      <w:r w:rsidR="006D6715">
        <w:t>27</w:t>
      </w:r>
      <w:r w:rsidR="007B49F5">
        <w:t xml:space="preserve"> </w:t>
      </w:r>
    </w:p>
    <w:p w14:paraId="0332A69B" w14:textId="596FD866" w:rsidR="006D6715" w:rsidRPr="009F0D0E" w:rsidRDefault="006D6715" w:rsidP="006C538C">
      <w:pPr>
        <w:rPr>
          <w:b/>
          <w:bCs/>
        </w:rPr>
      </w:pPr>
      <w:r w:rsidRPr="009F0D0E">
        <w:rPr>
          <w:b/>
          <w:bCs/>
        </w:rPr>
        <w:t>Remove as above</w:t>
      </w:r>
    </w:p>
    <w:p w14:paraId="32CD95F3" w14:textId="62C748DF" w:rsidR="006D6715" w:rsidRDefault="006D6715" w:rsidP="006C538C"/>
    <w:p w14:paraId="12437F10" w14:textId="426E3971" w:rsidR="007C3133" w:rsidRDefault="007C3133" w:rsidP="006C538C"/>
    <w:p w14:paraId="199E7979" w14:textId="6FA6CD21" w:rsidR="007C3133" w:rsidRDefault="007C3133" w:rsidP="006C538C"/>
    <w:p w14:paraId="6D185157" w14:textId="77777777" w:rsidR="007C3133" w:rsidRDefault="007C3133" w:rsidP="006C538C"/>
    <w:p w14:paraId="56BF6660" w14:textId="350894BC" w:rsidR="006D6715" w:rsidRDefault="006D6715" w:rsidP="006D6715">
      <w:r>
        <w:lastRenderedPageBreak/>
        <w:t>Article 28.2</w:t>
      </w:r>
      <w:r w:rsidR="007B49F5">
        <w:t xml:space="preserve">  </w:t>
      </w:r>
    </w:p>
    <w:p w14:paraId="1EA8076E" w14:textId="7C8BEC69" w:rsidR="006D6715" w:rsidRDefault="006D6715" w:rsidP="006D6715">
      <w:pPr>
        <w:rPr>
          <w:b/>
          <w:bCs/>
        </w:rPr>
      </w:pPr>
      <w:r w:rsidRPr="009F0D0E">
        <w:rPr>
          <w:b/>
          <w:bCs/>
        </w:rPr>
        <w:t xml:space="preserve">Remove </w:t>
      </w:r>
      <w:r w:rsidR="00045E9E">
        <w:rPr>
          <w:b/>
          <w:bCs/>
        </w:rPr>
        <w:t>as above</w:t>
      </w:r>
    </w:p>
    <w:p w14:paraId="1EF97341" w14:textId="77777777" w:rsidR="007C3133" w:rsidRDefault="007C3133" w:rsidP="006D6715"/>
    <w:p w14:paraId="21A1EE2C" w14:textId="149C2319" w:rsidR="006D6715" w:rsidRDefault="006D6715" w:rsidP="006D6715">
      <w:r>
        <w:t>Rationale</w:t>
      </w:r>
    </w:p>
    <w:p w14:paraId="558C6DF3" w14:textId="354B5B0C" w:rsidR="006D6715" w:rsidRDefault="00045E9E" w:rsidP="006D6715">
      <w:r>
        <w:t>All funds for regional teams are now the responsibility of, and funded by, HQ.</w:t>
      </w:r>
    </w:p>
    <w:p w14:paraId="2722C36E" w14:textId="559A71AD" w:rsidR="006D6715" w:rsidRDefault="006D6715" w:rsidP="006D6715"/>
    <w:p w14:paraId="2B5583F7" w14:textId="253EBB74" w:rsidR="006D6715" w:rsidRDefault="006D6715" w:rsidP="006D6715">
      <w:r>
        <w:t>Article 29</w:t>
      </w:r>
      <w:r w:rsidR="007B49F5">
        <w:t xml:space="preserve"> </w:t>
      </w:r>
    </w:p>
    <w:p w14:paraId="12CD39F4" w14:textId="7D34F19D" w:rsidR="006D6715" w:rsidRPr="009F0D0E" w:rsidRDefault="006D6715" w:rsidP="006D6715">
      <w:pPr>
        <w:rPr>
          <w:b/>
          <w:bCs/>
        </w:rPr>
      </w:pPr>
      <w:r w:rsidRPr="009F0D0E">
        <w:rPr>
          <w:b/>
          <w:bCs/>
        </w:rPr>
        <w:t>Remove the second sentence.</w:t>
      </w:r>
    </w:p>
    <w:p w14:paraId="73260C5E" w14:textId="15B56790" w:rsidR="006D6715" w:rsidRDefault="006D6715" w:rsidP="006D6715"/>
    <w:p w14:paraId="6B52CB10" w14:textId="1BE16286" w:rsidR="006D6715" w:rsidRDefault="006D6715" w:rsidP="006D6715">
      <w:r>
        <w:t>Rationale</w:t>
      </w:r>
    </w:p>
    <w:p w14:paraId="3B4BE695" w14:textId="692C466B" w:rsidR="00045E9E" w:rsidRDefault="00045E9E" w:rsidP="00045E9E">
      <w:r>
        <w:t>All funds for regional teams are now the responsibility of, and funded by, HQ.</w:t>
      </w:r>
    </w:p>
    <w:p w14:paraId="62967546" w14:textId="411DE8AE" w:rsidR="003C1F36" w:rsidRDefault="003C1F36" w:rsidP="00045E9E"/>
    <w:p w14:paraId="3374246B" w14:textId="78562F52" w:rsidR="003C1F36" w:rsidRDefault="003C1F36" w:rsidP="00045E9E">
      <w:r>
        <w:t>Article 30 (and subsequent relevant Articles)</w:t>
      </w:r>
    </w:p>
    <w:p w14:paraId="0D5CFD8A" w14:textId="1B161C1B" w:rsidR="003C1F36" w:rsidRDefault="003C1F36" w:rsidP="00045E9E">
      <w:pPr>
        <w:rPr>
          <w:b/>
          <w:bCs/>
        </w:rPr>
      </w:pPr>
      <w:r>
        <w:rPr>
          <w:b/>
          <w:bCs/>
        </w:rPr>
        <w:t xml:space="preserve">Amended to allow for </w:t>
      </w:r>
      <w:r w:rsidR="00907189">
        <w:rPr>
          <w:b/>
          <w:bCs/>
        </w:rPr>
        <w:t xml:space="preserve">the </w:t>
      </w:r>
      <w:r>
        <w:rPr>
          <w:b/>
          <w:bCs/>
        </w:rPr>
        <w:t xml:space="preserve">AGM and EGM’s to be held electronically, either </w:t>
      </w:r>
      <w:r w:rsidR="00907189">
        <w:rPr>
          <w:b/>
          <w:bCs/>
        </w:rPr>
        <w:t>entirely</w:t>
      </w:r>
      <w:r>
        <w:rPr>
          <w:b/>
          <w:bCs/>
        </w:rPr>
        <w:t xml:space="preserve"> or partly.</w:t>
      </w:r>
    </w:p>
    <w:p w14:paraId="511A43FE" w14:textId="77777777" w:rsidR="003C1F36" w:rsidRDefault="003C1F36" w:rsidP="00045E9E">
      <w:pPr>
        <w:rPr>
          <w:b/>
          <w:bCs/>
        </w:rPr>
      </w:pPr>
    </w:p>
    <w:p w14:paraId="3880FD7D" w14:textId="77777777" w:rsidR="003C1F36" w:rsidRDefault="003C1F36" w:rsidP="00045E9E">
      <w:r>
        <w:t>Rationale</w:t>
      </w:r>
    </w:p>
    <w:p w14:paraId="1D6253ED" w14:textId="31A5EFD8" w:rsidR="003C1F36" w:rsidRPr="00907189" w:rsidRDefault="003C1F36" w:rsidP="00045E9E">
      <w:r>
        <w:t xml:space="preserve">The current Articles do </w:t>
      </w:r>
      <w:r w:rsidRPr="003C1F36">
        <w:t>not allow</w:t>
      </w:r>
      <w:r>
        <w:rPr>
          <w:b/>
          <w:bCs/>
        </w:rPr>
        <w:t xml:space="preserve"> </w:t>
      </w:r>
      <w:r w:rsidRPr="003C1F36">
        <w:t>for ‘virtual’ meetings</w:t>
      </w:r>
      <w:r>
        <w:rPr>
          <w:b/>
          <w:bCs/>
        </w:rPr>
        <w:t xml:space="preserve"> </w:t>
      </w:r>
      <w:r w:rsidRPr="00907189">
        <w:t>and, as a result, the 2020 AGM had to be cancelled as a result of the restrictions imposed due to the pandemic. Whilst the intention is that future Members</w:t>
      </w:r>
      <w:r w:rsidR="00907189">
        <w:t>’</w:t>
      </w:r>
      <w:r w:rsidRPr="00907189">
        <w:t xml:space="preserve"> meetings will be held in person the change provides flexibility should circumstances dictate and </w:t>
      </w:r>
      <w:r w:rsidR="00907189" w:rsidRPr="00907189">
        <w:t>updates</w:t>
      </w:r>
      <w:r w:rsidRPr="00907189">
        <w:t xml:space="preserve"> the Articles </w:t>
      </w:r>
      <w:r w:rsidR="00907189" w:rsidRPr="00907189">
        <w:t>to reflect current practice.</w:t>
      </w:r>
    </w:p>
    <w:p w14:paraId="401F1E6C" w14:textId="04DEF73F" w:rsidR="006D6715" w:rsidRDefault="006D6715" w:rsidP="006D6715"/>
    <w:p w14:paraId="78BFCF79" w14:textId="72AA0BBB" w:rsidR="006D6715" w:rsidRDefault="006D6715" w:rsidP="006D6715">
      <w:r>
        <w:t>Article 35</w:t>
      </w:r>
      <w:r w:rsidR="007B49F5">
        <w:t xml:space="preserve">  </w:t>
      </w:r>
    </w:p>
    <w:p w14:paraId="3D5B3094" w14:textId="69301D5E" w:rsidR="006D6715" w:rsidRPr="009F0D0E" w:rsidRDefault="006D6715" w:rsidP="006D6715">
      <w:pPr>
        <w:rPr>
          <w:b/>
          <w:bCs/>
        </w:rPr>
      </w:pPr>
      <w:r w:rsidRPr="009F0D0E">
        <w:rPr>
          <w:b/>
          <w:bCs/>
        </w:rPr>
        <w:t xml:space="preserve">Reduce the percentage </w:t>
      </w:r>
      <w:r w:rsidR="00045E9E">
        <w:rPr>
          <w:b/>
          <w:bCs/>
        </w:rPr>
        <w:t>of regions</w:t>
      </w:r>
      <w:r w:rsidR="0008279B">
        <w:rPr>
          <w:b/>
          <w:bCs/>
        </w:rPr>
        <w:t xml:space="preserve"> required to be</w:t>
      </w:r>
      <w:r w:rsidR="00045E9E">
        <w:rPr>
          <w:b/>
          <w:bCs/>
        </w:rPr>
        <w:t xml:space="preserve"> represented </w:t>
      </w:r>
      <w:r w:rsidRPr="009F0D0E">
        <w:rPr>
          <w:b/>
          <w:bCs/>
        </w:rPr>
        <w:t>at General Meetings from 75%</w:t>
      </w:r>
      <w:r w:rsidR="00B97522">
        <w:rPr>
          <w:b/>
          <w:bCs/>
        </w:rPr>
        <w:t xml:space="preserve"> to 51%.</w:t>
      </w:r>
    </w:p>
    <w:p w14:paraId="16B4DFDA" w14:textId="33FC5D54" w:rsidR="006D6715" w:rsidRDefault="006D6715" w:rsidP="006D6715"/>
    <w:p w14:paraId="73951CA7" w14:textId="77DBEE9A" w:rsidR="006D6715" w:rsidRDefault="006D6715" w:rsidP="006D6715">
      <w:r>
        <w:t>Rationale</w:t>
      </w:r>
    </w:p>
    <w:p w14:paraId="4B5D9277" w14:textId="111E568B" w:rsidR="006D6715" w:rsidRDefault="00E3185D" w:rsidP="006D6715">
      <w:r>
        <w:t>The geographic spread of some regions can result in no representation from some regions which may make it difficult to achieve quorum.</w:t>
      </w:r>
    </w:p>
    <w:p w14:paraId="53EAD987" w14:textId="73A7F15F" w:rsidR="009E6155" w:rsidRDefault="009E6155" w:rsidP="006D6715"/>
    <w:p w14:paraId="0CE3C7D8" w14:textId="1632C6B9" w:rsidR="009E6155" w:rsidRDefault="009E6155" w:rsidP="006D6715">
      <w:r>
        <w:t>Article 53.2</w:t>
      </w:r>
    </w:p>
    <w:p w14:paraId="34FE5570" w14:textId="78C5970F" w:rsidR="009E6155" w:rsidRDefault="009E6155" w:rsidP="006D6715">
      <w:pPr>
        <w:rPr>
          <w:b/>
          <w:bCs/>
        </w:rPr>
      </w:pPr>
      <w:r>
        <w:rPr>
          <w:b/>
          <w:bCs/>
        </w:rPr>
        <w:t>Amend to not more than six other Trustees elected by the voting Members</w:t>
      </w:r>
    </w:p>
    <w:p w14:paraId="4F410B97" w14:textId="0D66847D" w:rsidR="009E6155" w:rsidRDefault="009E6155" w:rsidP="006D6715">
      <w:pPr>
        <w:rPr>
          <w:b/>
          <w:bCs/>
        </w:rPr>
      </w:pPr>
    </w:p>
    <w:p w14:paraId="30F560B7" w14:textId="691D3DC3" w:rsidR="009E6155" w:rsidRDefault="009E6155" w:rsidP="006D6715">
      <w:r>
        <w:t>Rationale</w:t>
      </w:r>
    </w:p>
    <w:p w14:paraId="21D750F6" w14:textId="48B16A4A" w:rsidR="009E6155" w:rsidRDefault="009E6155" w:rsidP="006D6715">
      <w:r>
        <w:t>Increase the number to facilitate the new position of Past President</w:t>
      </w:r>
    </w:p>
    <w:p w14:paraId="57D19849" w14:textId="77777777" w:rsidR="00E3185D" w:rsidRDefault="00E3185D" w:rsidP="006D6715"/>
    <w:p w14:paraId="7F2286C1" w14:textId="009106CA" w:rsidR="009F0D0E" w:rsidRPr="005B409B" w:rsidRDefault="009F0D0E" w:rsidP="009F0D0E">
      <w:r w:rsidRPr="005B409B">
        <w:t>Article 56</w:t>
      </w:r>
      <w:r w:rsidR="007B49F5">
        <w:t xml:space="preserve">  </w:t>
      </w:r>
    </w:p>
    <w:p w14:paraId="6A98A6E7" w14:textId="3684C5A5" w:rsidR="009F0D0E" w:rsidRPr="0008087A" w:rsidRDefault="009F0D0E" w:rsidP="009F0D0E">
      <w:pPr>
        <w:rPr>
          <w:b/>
          <w:bCs/>
        </w:rPr>
      </w:pPr>
      <w:r w:rsidRPr="0008087A">
        <w:rPr>
          <w:b/>
          <w:bCs/>
        </w:rPr>
        <w:t>Change</w:t>
      </w:r>
      <w:r w:rsidR="0008279B">
        <w:rPr>
          <w:b/>
          <w:bCs/>
        </w:rPr>
        <w:t xml:space="preserve"> the</w:t>
      </w:r>
      <w:r w:rsidRPr="0008087A">
        <w:rPr>
          <w:b/>
          <w:bCs/>
        </w:rPr>
        <w:t xml:space="preserve"> title of Vice President to President Elect</w:t>
      </w:r>
    </w:p>
    <w:p w14:paraId="7D47D171" w14:textId="77777777" w:rsidR="009F0D0E" w:rsidRDefault="009F0D0E" w:rsidP="009F0D0E"/>
    <w:p w14:paraId="473AE0F9" w14:textId="32093401" w:rsidR="009F0D0E" w:rsidRDefault="009F0D0E" w:rsidP="009F0D0E">
      <w:r>
        <w:t>Rationale</w:t>
      </w:r>
    </w:p>
    <w:p w14:paraId="38D5934A" w14:textId="77777777" w:rsidR="009F0D0E" w:rsidRDefault="009F0D0E" w:rsidP="009F0D0E">
      <w:r>
        <w:t>Revision of title clearly indicates the President Elect is the incoming President and brings in line with other Associations.</w:t>
      </w:r>
    </w:p>
    <w:p w14:paraId="2E4589DF" w14:textId="77777777" w:rsidR="009F0D0E" w:rsidRDefault="009F0D0E" w:rsidP="007B2969"/>
    <w:p w14:paraId="5C08901B" w14:textId="56BE1E9E" w:rsidR="009F0D0E" w:rsidRPr="0008279B" w:rsidRDefault="009F0D0E" w:rsidP="009F0D0E">
      <w:r w:rsidRPr="0008279B">
        <w:t>Article 63</w:t>
      </w:r>
      <w:r w:rsidR="007B49F5">
        <w:t xml:space="preserve"> </w:t>
      </w:r>
    </w:p>
    <w:p w14:paraId="4F8D41EF" w14:textId="58B0F5DC" w:rsidR="009F0D0E" w:rsidRPr="0008279B" w:rsidRDefault="009F0D0E" w:rsidP="009F0D0E">
      <w:pPr>
        <w:rPr>
          <w:b/>
          <w:bCs/>
        </w:rPr>
      </w:pPr>
      <w:r w:rsidRPr="0008279B">
        <w:rPr>
          <w:b/>
          <w:bCs/>
        </w:rPr>
        <w:t>Change the term of office of President</w:t>
      </w:r>
    </w:p>
    <w:p w14:paraId="79275DC4" w14:textId="77777777" w:rsidR="009F0D0E" w:rsidRPr="0008279B" w:rsidRDefault="009F0D0E" w:rsidP="009F0D0E"/>
    <w:p w14:paraId="76451047" w14:textId="77777777" w:rsidR="009F0D0E" w:rsidRPr="0008279B" w:rsidRDefault="009F0D0E" w:rsidP="009F0D0E">
      <w:r w:rsidRPr="0008279B">
        <w:t>Rationale</w:t>
      </w:r>
    </w:p>
    <w:p w14:paraId="528E592C" w14:textId="1E9F1F3D" w:rsidR="009F0D0E" w:rsidRPr="0008279B" w:rsidRDefault="009F0D0E" w:rsidP="009F0D0E">
      <w:r w:rsidRPr="0008279B">
        <w:t>The term of office for President will remain as two years but they will then continue for a further year on the Board as Past President.  The main role of the Past President would be to support the incoming President and ensure continuity of knowledge and experience.</w:t>
      </w:r>
    </w:p>
    <w:p w14:paraId="7468300E" w14:textId="77777777" w:rsidR="009F0D0E" w:rsidRDefault="009F0D0E" w:rsidP="007B2969"/>
    <w:p w14:paraId="5B188AEA" w14:textId="77777777" w:rsidR="00557B7B" w:rsidRDefault="00557B7B" w:rsidP="00620770"/>
    <w:p w14:paraId="361268FE" w14:textId="77777777" w:rsidR="00557B7B" w:rsidRDefault="00557B7B" w:rsidP="00620770"/>
    <w:p w14:paraId="2BB094EE" w14:textId="77777777" w:rsidR="00557B7B" w:rsidRDefault="00557B7B" w:rsidP="00620770"/>
    <w:p w14:paraId="416FFABD" w14:textId="77777777" w:rsidR="00557B7B" w:rsidRDefault="00557B7B" w:rsidP="00620770"/>
    <w:p w14:paraId="26AA56BA" w14:textId="77777777" w:rsidR="00557B7B" w:rsidRDefault="00557B7B" w:rsidP="00620770"/>
    <w:p w14:paraId="4A1DD9E3" w14:textId="77777777" w:rsidR="00557B7B" w:rsidRDefault="00557B7B" w:rsidP="00620770"/>
    <w:p w14:paraId="12B47DA1" w14:textId="77777777" w:rsidR="00557B7B" w:rsidRDefault="00557B7B" w:rsidP="00620770"/>
    <w:p w14:paraId="24FCFDB6" w14:textId="77777777" w:rsidR="00557B7B" w:rsidRDefault="00557B7B" w:rsidP="00620770"/>
    <w:p w14:paraId="25E2EA6A" w14:textId="314451A5" w:rsidR="006F762C" w:rsidRPr="0008279B" w:rsidRDefault="006F762C" w:rsidP="00620770">
      <w:r w:rsidRPr="0008279B">
        <w:t>NEW Article 62</w:t>
      </w:r>
      <w:r w:rsidR="007B49F5">
        <w:t xml:space="preserve">  </w:t>
      </w:r>
    </w:p>
    <w:p w14:paraId="720D4957" w14:textId="44367D77" w:rsidR="006F762C" w:rsidRPr="0008279B" w:rsidRDefault="006F762C" w:rsidP="006F762C">
      <w:pPr>
        <w:rPr>
          <w:b/>
          <w:bCs/>
        </w:rPr>
      </w:pPr>
      <w:r w:rsidRPr="0008279B">
        <w:rPr>
          <w:rFonts w:cstheme="minorHAnsi"/>
          <w:b/>
          <w:bCs/>
        </w:rPr>
        <w:t>New wording inserted ‘</w:t>
      </w:r>
      <w:r w:rsidRPr="0008279B">
        <w:rPr>
          <w:b/>
          <w:bCs/>
        </w:rPr>
        <w:t>The President Elect shall hold a term of office of one year at the end of which they shall become the President and the term of office in Article 63 shall apply.’</w:t>
      </w:r>
    </w:p>
    <w:p w14:paraId="6D6639FE" w14:textId="77777777" w:rsidR="00557B7B" w:rsidRDefault="00557B7B" w:rsidP="006F762C"/>
    <w:p w14:paraId="5726C952" w14:textId="5EEF2535" w:rsidR="006F762C" w:rsidRDefault="00557B7B" w:rsidP="006F762C">
      <w:r>
        <w:t>R</w:t>
      </w:r>
      <w:r w:rsidR="006F762C" w:rsidRPr="0008279B">
        <w:t>ationale</w:t>
      </w:r>
    </w:p>
    <w:p w14:paraId="5A484752" w14:textId="671942DB" w:rsidR="006F762C" w:rsidRPr="0008279B" w:rsidRDefault="006F762C" w:rsidP="0008279B">
      <w:r w:rsidRPr="0008279B">
        <w:t>Currently the term of office for Vice President is two years, followed by a further term of two years as President and then retire.  The Board agreed one year as Vice President (President Elect) is sufficient time to prepare for the role of President.</w:t>
      </w:r>
    </w:p>
    <w:p w14:paraId="76923E3A" w14:textId="02C37BA1" w:rsidR="006F762C" w:rsidRDefault="006F762C" w:rsidP="00620770">
      <w:pPr>
        <w:rPr>
          <w:color w:val="00B0F0"/>
        </w:rPr>
      </w:pPr>
    </w:p>
    <w:p w14:paraId="75D893EF" w14:textId="3BB4071A" w:rsidR="005B409B" w:rsidRPr="0008279B" w:rsidRDefault="005B409B" w:rsidP="00620770">
      <w:r w:rsidRPr="0008279B">
        <w:t xml:space="preserve">Article 64 </w:t>
      </w:r>
    </w:p>
    <w:p w14:paraId="38F7F022" w14:textId="28E54E1A" w:rsidR="00620770" w:rsidRPr="00B97522" w:rsidRDefault="00967CAC" w:rsidP="00620770">
      <w:pPr>
        <w:rPr>
          <w:b/>
          <w:bCs/>
        </w:rPr>
      </w:pPr>
      <w:r w:rsidRPr="00B97522">
        <w:rPr>
          <w:b/>
          <w:bCs/>
        </w:rPr>
        <w:t>Add the Past President shall assume the role of President should the President Elect not be in a position to do so.</w:t>
      </w:r>
    </w:p>
    <w:p w14:paraId="3CBF8E0B" w14:textId="1BB919CF" w:rsidR="005B409B" w:rsidRPr="0008279B" w:rsidRDefault="005B409B" w:rsidP="007B2969"/>
    <w:p w14:paraId="271FDD90" w14:textId="5927933F" w:rsidR="005B409B" w:rsidRPr="0008279B" w:rsidRDefault="005B409B" w:rsidP="007B2969">
      <w:r w:rsidRPr="0008279B">
        <w:t>Rationale</w:t>
      </w:r>
    </w:p>
    <w:p w14:paraId="5E48AB6E" w14:textId="680258A8" w:rsidR="005B409B" w:rsidRPr="0008279B" w:rsidRDefault="005B409B" w:rsidP="007B2969">
      <w:r w:rsidRPr="0008279B">
        <w:t>In the event of an unforeseen vacancy the option for the immediate Past President</w:t>
      </w:r>
      <w:r w:rsidR="00967CAC" w:rsidRPr="0008279B">
        <w:t xml:space="preserve"> to assume the role of President</w:t>
      </w:r>
      <w:r w:rsidRPr="0008279B">
        <w:t xml:space="preserve"> w</w:t>
      </w:r>
      <w:r w:rsidR="00967CAC" w:rsidRPr="0008279B">
        <w:t xml:space="preserve">ill </w:t>
      </w:r>
      <w:r w:rsidRPr="0008279B">
        <w:t>ensure succession</w:t>
      </w:r>
      <w:r w:rsidR="00967CAC" w:rsidRPr="0008279B">
        <w:t>.</w:t>
      </w:r>
    </w:p>
    <w:p w14:paraId="538DE464" w14:textId="6C7AD18C" w:rsidR="005B409B" w:rsidRPr="0008279B" w:rsidRDefault="005B409B" w:rsidP="007B2969"/>
    <w:p w14:paraId="5F91C62F" w14:textId="77777777" w:rsidR="00C27C8D" w:rsidRDefault="00C27C8D" w:rsidP="00052DE9"/>
    <w:p w14:paraId="5D161872" w14:textId="7AE9348C" w:rsidR="0008279B" w:rsidRPr="0008279B" w:rsidRDefault="00522F28" w:rsidP="00052DE9">
      <w:r w:rsidRPr="0008279B">
        <w:t>Article 76</w:t>
      </w:r>
      <w:r w:rsidR="00052DE9" w:rsidRPr="0008279B">
        <w:t xml:space="preserve"> </w:t>
      </w:r>
    </w:p>
    <w:p w14:paraId="0EBE7CCF" w14:textId="7F074E4C" w:rsidR="00052DE9" w:rsidRPr="0008279B" w:rsidRDefault="0008279B" w:rsidP="00052DE9">
      <w:pPr>
        <w:rPr>
          <w:b/>
          <w:bCs/>
        </w:rPr>
      </w:pPr>
      <w:r w:rsidRPr="0008279B">
        <w:rPr>
          <w:b/>
          <w:bCs/>
        </w:rPr>
        <w:t>Remove</w:t>
      </w:r>
    </w:p>
    <w:p w14:paraId="6052AA2C" w14:textId="5E5730D3" w:rsidR="00052DE9" w:rsidRDefault="00052DE9" w:rsidP="00052DE9"/>
    <w:p w14:paraId="51F8FC7F" w14:textId="2E0E7F33" w:rsidR="00052DE9" w:rsidRDefault="00052DE9" w:rsidP="00052DE9">
      <w:r>
        <w:t>Rationale</w:t>
      </w:r>
    </w:p>
    <w:p w14:paraId="7D328737" w14:textId="6BAD4AFD" w:rsidR="00052DE9" w:rsidRDefault="00052DE9" w:rsidP="00052DE9">
      <w:r>
        <w:t xml:space="preserve">It may be beneficial to invite non-members to join these groups </w:t>
      </w:r>
      <w:r w:rsidR="00074DB8">
        <w:t>to support and provide specialist knowledge.</w:t>
      </w:r>
      <w:r w:rsidR="007B49F5">
        <w:t xml:space="preserve">  </w:t>
      </w:r>
    </w:p>
    <w:p w14:paraId="46C1D1F4" w14:textId="14A067E4" w:rsidR="00771B81" w:rsidRDefault="00771B81" w:rsidP="00052DE9"/>
    <w:p w14:paraId="68BE5F08" w14:textId="1D11F3B6" w:rsidR="00771B81" w:rsidRPr="0008279B" w:rsidRDefault="00771B81" w:rsidP="00052DE9">
      <w:r w:rsidRPr="0008279B">
        <w:t>Article 79</w:t>
      </w:r>
    </w:p>
    <w:p w14:paraId="54BF3F05" w14:textId="7222ADFD" w:rsidR="00771B81" w:rsidRPr="0008279B" w:rsidRDefault="00771B81" w:rsidP="00052DE9">
      <w:pPr>
        <w:rPr>
          <w:b/>
          <w:bCs/>
        </w:rPr>
      </w:pPr>
      <w:r w:rsidRPr="0008279B">
        <w:rPr>
          <w:b/>
          <w:bCs/>
        </w:rPr>
        <w:t>Remove</w:t>
      </w:r>
      <w:r w:rsidR="007B49F5">
        <w:rPr>
          <w:b/>
          <w:bCs/>
        </w:rPr>
        <w:t xml:space="preserve"> </w:t>
      </w:r>
    </w:p>
    <w:p w14:paraId="369A5FB7" w14:textId="5B56B4CA" w:rsidR="00771B81" w:rsidRPr="0008279B" w:rsidRDefault="00771B81" w:rsidP="00052DE9"/>
    <w:p w14:paraId="286283E6" w14:textId="79405944" w:rsidR="00771B81" w:rsidRPr="0008279B" w:rsidRDefault="00771B81" w:rsidP="00052DE9">
      <w:r w:rsidRPr="0008279B">
        <w:t>Rationale</w:t>
      </w:r>
    </w:p>
    <w:p w14:paraId="1694C241" w14:textId="73C676A7" w:rsidR="00771B81" w:rsidRPr="0008279B" w:rsidRDefault="00771B81" w:rsidP="00771B81">
      <w:r w:rsidRPr="0008279B">
        <w:t>All funds for Specialist Interest Groups are now the responsibility of, and funded by, HQ.</w:t>
      </w:r>
    </w:p>
    <w:p w14:paraId="1FC2DD4E" w14:textId="11B0BDE6" w:rsidR="00E75071" w:rsidRDefault="00E75071" w:rsidP="00771B81">
      <w:pPr>
        <w:rPr>
          <w:color w:val="FF0000"/>
        </w:rPr>
      </w:pPr>
    </w:p>
    <w:p w14:paraId="1058E4A5" w14:textId="3779BA46" w:rsidR="00E75071" w:rsidRPr="0008279B" w:rsidRDefault="00E75071" w:rsidP="00E75071">
      <w:r w:rsidRPr="0008279B">
        <w:t>Articles 80 &amp; 81</w:t>
      </w:r>
      <w:r w:rsidR="007B49F5">
        <w:t xml:space="preserve"> </w:t>
      </w:r>
    </w:p>
    <w:p w14:paraId="3D48483C" w14:textId="77777777" w:rsidR="00E75071" w:rsidRPr="0008279B" w:rsidRDefault="00E75071" w:rsidP="00E75071">
      <w:pPr>
        <w:rPr>
          <w:b/>
          <w:bCs/>
        </w:rPr>
      </w:pPr>
      <w:r w:rsidRPr="0008279B">
        <w:rPr>
          <w:b/>
          <w:bCs/>
        </w:rPr>
        <w:t>Remove</w:t>
      </w:r>
    </w:p>
    <w:p w14:paraId="19080BC7" w14:textId="77777777" w:rsidR="00E75071" w:rsidRPr="0008279B" w:rsidRDefault="00E75071" w:rsidP="00E75071">
      <w:pPr>
        <w:rPr>
          <w:b/>
          <w:bCs/>
        </w:rPr>
      </w:pPr>
    </w:p>
    <w:p w14:paraId="64B88CEF" w14:textId="77777777" w:rsidR="00E75071" w:rsidRPr="0008279B" w:rsidRDefault="00E75071" w:rsidP="00E75071">
      <w:r w:rsidRPr="0008279B">
        <w:t>Rationale</w:t>
      </w:r>
    </w:p>
    <w:p w14:paraId="4471DBC0" w14:textId="6BC97DA2" w:rsidR="00E75071" w:rsidRPr="0008279B" w:rsidRDefault="00E75071" w:rsidP="00E75071">
      <w:r w:rsidRPr="0008279B">
        <w:t>Already covered under Article 73 (previously 74</w:t>
      </w:r>
      <w:r w:rsidR="00C27C8D">
        <w:t>)</w:t>
      </w:r>
    </w:p>
    <w:p w14:paraId="550A89E4" w14:textId="77777777" w:rsidR="00E75071" w:rsidRPr="0008279B" w:rsidRDefault="00E75071" w:rsidP="00771B81">
      <w:pPr>
        <w:rPr>
          <w:color w:val="FF0000"/>
        </w:rPr>
      </w:pPr>
    </w:p>
    <w:p w14:paraId="1F68E890" w14:textId="53EBD08B" w:rsidR="00E75071" w:rsidRPr="0008279B" w:rsidRDefault="00E75071" w:rsidP="00E75071">
      <w:r w:rsidRPr="0008279B">
        <w:t>Article 84</w:t>
      </w:r>
      <w:r w:rsidR="007B49F5">
        <w:t xml:space="preserve"> </w:t>
      </w:r>
    </w:p>
    <w:p w14:paraId="16AE994F" w14:textId="77777777" w:rsidR="00E75071" w:rsidRPr="0008279B" w:rsidRDefault="00E75071" w:rsidP="00E75071">
      <w:r w:rsidRPr="0008279B">
        <w:rPr>
          <w:b/>
          <w:bCs/>
        </w:rPr>
        <w:t>Amend this article to read ‘Disqualification, Removal and Resignation of Trustees’ and update terminology.</w:t>
      </w:r>
    </w:p>
    <w:p w14:paraId="433C19A1" w14:textId="77777777" w:rsidR="00E75071" w:rsidRPr="0008279B" w:rsidRDefault="00E75071" w:rsidP="00E75071"/>
    <w:p w14:paraId="73B01C96" w14:textId="77777777" w:rsidR="00E75071" w:rsidRPr="0008279B" w:rsidRDefault="00E75071" w:rsidP="00E75071">
      <w:r w:rsidRPr="0008279B">
        <w:t>Rationale</w:t>
      </w:r>
    </w:p>
    <w:p w14:paraId="4645A44C" w14:textId="539459F1" w:rsidR="00E75071" w:rsidRPr="0008279B" w:rsidRDefault="0008279B" w:rsidP="00E75071">
      <w:r w:rsidRPr="0008279B">
        <w:t>Update t</w:t>
      </w:r>
      <w:r w:rsidR="00E75071" w:rsidRPr="0008279B">
        <w:t xml:space="preserve">o meet </w:t>
      </w:r>
      <w:r w:rsidRPr="0008279B">
        <w:t>current legislation and company law.</w:t>
      </w:r>
    </w:p>
    <w:p w14:paraId="5D569893" w14:textId="77777777" w:rsidR="00E75071" w:rsidRDefault="00E75071" w:rsidP="0008279B">
      <w:pPr>
        <w:ind w:left="0"/>
      </w:pPr>
    </w:p>
    <w:p w14:paraId="56D3EEE2" w14:textId="77777777" w:rsidR="007C3133" w:rsidRDefault="007C3133" w:rsidP="007B2969"/>
    <w:p w14:paraId="212154B2" w14:textId="77777777" w:rsidR="007C3133" w:rsidRDefault="007C3133" w:rsidP="007B2969"/>
    <w:p w14:paraId="1F38B7ED" w14:textId="77777777" w:rsidR="007C3133" w:rsidRDefault="007C3133" w:rsidP="007B2969"/>
    <w:p w14:paraId="13E2EFFE" w14:textId="77777777" w:rsidR="007C3133" w:rsidRDefault="007C3133" w:rsidP="007B2969"/>
    <w:p w14:paraId="6607E9E9" w14:textId="5DF4D02B" w:rsidR="00A7633D" w:rsidRDefault="00A7633D" w:rsidP="007B2969">
      <w:r>
        <w:lastRenderedPageBreak/>
        <w:t>Article 84.7</w:t>
      </w:r>
      <w:r w:rsidR="007B49F5">
        <w:t xml:space="preserve">  </w:t>
      </w:r>
    </w:p>
    <w:p w14:paraId="5AD5DCB3" w14:textId="13690749" w:rsidR="00A7633D" w:rsidRPr="0008087A" w:rsidRDefault="00A7633D" w:rsidP="007B2969">
      <w:pPr>
        <w:rPr>
          <w:b/>
          <w:bCs/>
        </w:rPr>
      </w:pPr>
      <w:r w:rsidRPr="0008087A">
        <w:rPr>
          <w:b/>
          <w:bCs/>
        </w:rPr>
        <w:t>Change absence from three to two consecutive Board meetings</w:t>
      </w:r>
    </w:p>
    <w:p w14:paraId="3F4928DA" w14:textId="74B108E9" w:rsidR="00A7633D" w:rsidRDefault="00A7633D" w:rsidP="007B2969"/>
    <w:p w14:paraId="46AFCB0E" w14:textId="4D550515" w:rsidR="00A7633D" w:rsidRDefault="00A7633D" w:rsidP="007B2969">
      <w:r>
        <w:t>Rationale</w:t>
      </w:r>
    </w:p>
    <w:p w14:paraId="30D246AE" w14:textId="0EF3B8AA" w:rsidR="000F7ABC" w:rsidRDefault="00A7633D" w:rsidP="0008279B">
      <w:r>
        <w:t>Board Meeting dates are a</w:t>
      </w:r>
      <w:r w:rsidR="0008087A">
        <w:t>dvised</w:t>
      </w:r>
      <w:r>
        <w:t xml:space="preserve"> well in advance and the Board agreed that intervention should be possible after absence from two consecutive meetings </w:t>
      </w:r>
      <w:r w:rsidR="007246FC">
        <w:t>(meetings are held quarterly over a year).</w:t>
      </w:r>
    </w:p>
    <w:p w14:paraId="01605091" w14:textId="77777777" w:rsidR="007C3133" w:rsidRDefault="007C3133" w:rsidP="009F0D0E"/>
    <w:p w14:paraId="0E366A6B" w14:textId="041DAC1C" w:rsidR="00E75071" w:rsidRPr="007C3133" w:rsidRDefault="00316D14" w:rsidP="009F0D0E">
      <w:r w:rsidRPr="007C3133">
        <w:t>Article 84 (New Article 80)</w:t>
      </w:r>
    </w:p>
    <w:p w14:paraId="3087CE68" w14:textId="51EE46A6" w:rsidR="00316D14" w:rsidRPr="007C3133" w:rsidRDefault="00316D14" w:rsidP="009F0D0E">
      <w:pPr>
        <w:rPr>
          <w:b/>
          <w:bCs/>
        </w:rPr>
      </w:pPr>
      <w:r w:rsidRPr="007C3133">
        <w:rPr>
          <w:b/>
          <w:bCs/>
        </w:rPr>
        <w:t>Insert additional grounds for disqualification and remova</w:t>
      </w:r>
      <w:r w:rsidRPr="007C3133">
        <w:t>l</w:t>
      </w:r>
      <w:r w:rsidRPr="007C3133">
        <w:rPr>
          <w:b/>
          <w:bCs/>
        </w:rPr>
        <w:t>:</w:t>
      </w:r>
    </w:p>
    <w:p w14:paraId="271FCBE9" w14:textId="09DE6BBC" w:rsidR="00316D14" w:rsidRPr="007C3133" w:rsidRDefault="00316D14" w:rsidP="009F0D0E"/>
    <w:p w14:paraId="34D7C6B7" w14:textId="6D474F1D" w:rsidR="00316D14" w:rsidRPr="007C3133" w:rsidRDefault="00316D14" w:rsidP="009F0D0E">
      <w:r w:rsidRPr="007C3133">
        <w:t xml:space="preserve">New Article 80.5 </w:t>
      </w:r>
    </w:p>
    <w:p w14:paraId="63B2FFBF" w14:textId="11F9F7FD" w:rsidR="00316D14" w:rsidRPr="007C3133" w:rsidRDefault="00316D14" w:rsidP="009F0D0E">
      <w:r w:rsidRPr="007C3133">
        <w:rPr>
          <w:b/>
          <w:bCs/>
        </w:rPr>
        <w:t>Has been convicted of a criminal offence, except where the maximum sentence for that offence is a fine</w:t>
      </w:r>
      <w:r w:rsidRPr="007C3133">
        <w:t>.</w:t>
      </w:r>
    </w:p>
    <w:p w14:paraId="61555FED" w14:textId="234DF791" w:rsidR="00316D14" w:rsidRPr="007C3133" w:rsidRDefault="00316D14" w:rsidP="009F0D0E"/>
    <w:p w14:paraId="011F41CF" w14:textId="06D06943" w:rsidR="00316D14" w:rsidRPr="007C3133" w:rsidRDefault="00316D14" w:rsidP="009F0D0E">
      <w:r w:rsidRPr="007C3133">
        <w:t>New Article 80.11</w:t>
      </w:r>
    </w:p>
    <w:p w14:paraId="0462ECA3" w14:textId="0F9A2463" w:rsidR="00316D14" w:rsidRPr="007C3133" w:rsidRDefault="00316D14" w:rsidP="009F0D0E">
      <w:pPr>
        <w:rPr>
          <w:b/>
          <w:bCs/>
        </w:rPr>
      </w:pPr>
      <w:r w:rsidRPr="007C3133">
        <w:rPr>
          <w:b/>
          <w:bCs/>
        </w:rPr>
        <w:t xml:space="preserve">Is removed </w:t>
      </w:r>
      <w:r w:rsidR="00F839DF">
        <w:rPr>
          <w:b/>
          <w:bCs/>
        </w:rPr>
        <w:t xml:space="preserve">involuntarily </w:t>
      </w:r>
      <w:r w:rsidRPr="007C3133">
        <w:rPr>
          <w:b/>
          <w:bCs/>
        </w:rPr>
        <w:t>from the Regulatory Body with which they are registered.</w:t>
      </w:r>
    </w:p>
    <w:p w14:paraId="7DFEDC62" w14:textId="77777777" w:rsidR="00557B7B" w:rsidRPr="007C3133" w:rsidRDefault="00557B7B" w:rsidP="00B13A76"/>
    <w:p w14:paraId="643EFF52" w14:textId="3559A732" w:rsidR="00B13A76" w:rsidRDefault="00B13A76" w:rsidP="00B13A76">
      <w:r>
        <w:t>Article 86</w:t>
      </w:r>
      <w:r w:rsidR="007B49F5">
        <w:t xml:space="preserve"> </w:t>
      </w:r>
    </w:p>
    <w:p w14:paraId="42E650E0" w14:textId="253580A4" w:rsidR="001E2625" w:rsidRDefault="001E2625" w:rsidP="00B13A76">
      <w:r>
        <w:rPr>
          <w:b/>
          <w:bCs/>
        </w:rPr>
        <w:t>Remove</w:t>
      </w:r>
    </w:p>
    <w:p w14:paraId="1094CC61" w14:textId="37714C94" w:rsidR="001E2625" w:rsidRDefault="001E2625" w:rsidP="00B13A76"/>
    <w:p w14:paraId="10938B1B" w14:textId="2BEED57B" w:rsidR="001E2625" w:rsidRDefault="001E2625" w:rsidP="00B13A76">
      <w:r>
        <w:t>Rationale</w:t>
      </w:r>
    </w:p>
    <w:p w14:paraId="04808AE2" w14:textId="6DF3D2B1" w:rsidR="001E2625" w:rsidRPr="00B97522" w:rsidRDefault="00A02DCC" w:rsidP="00B13A76">
      <w:r w:rsidRPr="00B97522">
        <w:t>Use of a</w:t>
      </w:r>
      <w:r w:rsidR="001E2625" w:rsidRPr="00B97522">
        <w:t xml:space="preserve"> Seal is no longer </w:t>
      </w:r>
      <w:r w:rsidRPr="00B97522">
        <w:t xml:space="preserve">a legal requirement and is not </w:t>
      </w:r>
      <w:r w:rsidR="001E2625" w:rsidRPr="00B97522">
        <w:t>used by the Association.</w:t>
      </w:r>
    </w:p>
    <w:p w14:paraId="48A14297" w14:textId="3AE87111" w:rsidR="00B13A76" w:rsidRDefault="00B13A76" w:rsidP="00B13A76"/>
    <w:p w14:paraId="5269E9F6" w14:textId="42DC7448" w:rsidR="00231823" w:rsidRDefault="00231823" w:rsidP="00B97522">
      <w:pPr>
        <w:ind w:left="0"/>
      </w:pPr>
    </w:p>
    <w:p w14:paraId="594F1BA5" w14:textId="4A395611" w:rsidR="00316D14" w:rsidRPr="00B97522" w:rsidRDefault="00F839DF" w:rsidP="00B13A76">
      <w:r>
        <w:t>23/09/21</w:t>
      </w:r>
    </w:p>
    <w:sectPr w:rsidR="00316D14" w:rsidRPr="00B975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63267B"/>
    <w:multiLevelType w:val="hybridMultilevel"/>
    <w:tmpl w:val="984AFAD6"/>
    <w:lvl w:ilvl="0" w:tplc="C8527E10">
      <w:start w:val="2"/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5F9A6FDB"/>
    <w:multiLevelType w:val="multilevel"/>
    <w:tmpl w:val="43488AF2"/>
    <w:lvl w:ilvl="0">
      <w:start w:val="1"/>
      <w:numFmt w:val="none"/>
      <w:pStyle w:val="ReStart"/>
      <w:lvlText w:val="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pStyle w:val="SubSection"/>
      <w:lvlText w:val="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  <w:u w:val="none"/>
      </w:rPr>
    </w:lvl>
    <w:lvl w:ilvl="2">
      <w:start w:val="1"/>
      <w:numFmt w:val="decimal"/>
      <w:isLgl/>
      <w:lvlText w:val="%3"/>
      <w:lvlJc w:val="left"/>
      <w:pPr>
        <w:tabs>
          <w:tab w:val="num" w:pos="1062"/>
        </w:tabs>
        <w:ind w:left="1062" w:hanging="720"/>
      </w:pPr>
      <w:rPr>
        <w:rFonts w:ascii="Arial" w:hAnsi="Arial" w:hint="default"/>
        <w:b/>
        <w:i w:val="0"/>
        <w:sz w:val="24"/>
        <w:u w:val="none"/>
      </w:rPr>
    </w:lvl>
    <w:lvl w:ilvl="3">
      <w:start w:val="1"/>
      <w:numFmt w:val="decimal"/>
      <w:isLgl/>
      <w:lvlText w:val="%3.%4"/>
      <w:lvlJc w:val="left"/>
      <w:pPr>
        <w:tabs>
          <w:tab w:val="num" w:pos="7383"/>
        </w:tabs>
        <w:ind w:left="7383" w:hanging="720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decimal"/>
      <w:isLgl/>
      <w:lvlText w:val="%3.%4.%5"/>
      <w:lvlJc w:val="left"/>
      <w:pPr>
        <w:tabs>
          <w:tab w:val="num" w:pos="1588"/>
        </w:tabs>
        <w:ind w:left="1588" w:hanging="868"/>
      </w:pPr>
      <w:rPr>
        <w:rFonts w:hint="default"/>
        <w:u w:val="none"/>
      </w:rPr>
    </w:lvl>
    <w:lvl w:ilvl="5">
      <w:start w:val="1"/>
      <w:numFmt w:val="decimal"/>
      <w:isLgl/>
      <w:lvlText w:val="%3.%4.%5.%6"/>
      <w:lvlJc w:val="left"/>
      <w:pPr>
        <w:tabs>
          <w:tab w:val="num" w:pos="2948"/>
        </w:tabs>
        <w:ind w:left="2948" w:hanging="1360"/>
      </w:pPr>
      <w:rPr>
        <w:rFonts w:hint="default"/>
      </w:rPr>
    </w:lvl>
    <w:lvl w:ilvl="6">
      <w:start w:val="1"/>
      <w:numFmt w:val="decimal"/>
      <w:isLgl/>
      <w:lvlText w:val="%3.%4.%5.%6.%7"/>
      <w:lvlJc w:val="left"/>
      <w:pPr>
        <w:tabs>
          <w:tab w:val="num" w:pos="4423"/>
        </w:tabs>
        <w:ind w:left="4423" w:hanging="147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2"/>
        </w:tabs>
        <w:ind w:left="1582" w:hanging="1582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E93"/>
    <w:rsid w:val="0000020A"/>
    <w:rsid w:val="00045E9E"/>
    <w:rsid w:val="00052DE9"/>
    <w:rsid w:val="00074DB8"/>
    <w:rsid w:val="0008087A"/>
    <w:rsid w:val="0008279B"/>
    <w:rsid w:val="000D7096"/>
    <w:rsid w:val="000F27BB"/>
    <w:rsid w:val="000F7ABC"/>
    <w:rsid w:val="001277DF"/>
    <w:rsid w:val="00171FF3"/>
    <w:rsid w:val="001E2625"/>
    <w:rsid w:val="001E3D25"/>
    <w:rsid w:val="00231823"/>
    <w:rsid w:val="002C4446"/>
    <w:rsid w:val="002C731E"/>
    <w:rsid w:val="002E6A65"/>
    <w:rsid w:val="002F5B96"/>
    <w:rsid w:val="00312863"/>
    <w:rsid w:val="00316D14"/>
    <w:rsid w:val="00322B8E"/>
    <w:rsid w:val="00326B37"/>
    <w:rsid w:val="00334685"/>
    <w:rsid w:val="003C1F36"/>
    <w:rsid w:val="003D08B0"/>
    <w:rsid w:val="00416E92"/>
    <w:rsid w:val="004A4E93"/>
    <w:rsid w:val="00522004"/>
    <w:rsid w:val="00522F28"/>
    <w:rsid w:val="00557B7B"/>
    <w:rsid w:val="005816AF"/>
    <w:rsid w:val="005A658E"/>
    <w:rsid w:val="005B409B"/>
    <w:rsid w:val="005F2C5C"/>
    <w:rsid w:val="00620770"/>
    <w:rsid w:val="00634E58"/>
    <w:rsid w:val="00673BA2"/>
    <w:rsid w:val="00680FE9"/>
    <w:rsid w:val="0068431C"/>
    <w:rsid w:val="006B442A"/>
    <w:rsid w:val="006C538C"/>
    <w:rsid w:val="006D6715"/>
    <w:rsid w:val="006E609E"/>
    <w:rsid w:val="006F762C"/>
    <w:rsid w:val="007223CC"/>
    <w:rsid w:val="007246FC"/>
    <w:rsid w:val="00771B81"/>
    <w:rsid w:val="0077560F"/>
    <w:rsid w:val="007B1AA0"/>
    <w:rsid w:val="007B2969"/>
    <w:rsid w:val="007B49F5"/>
    <w:rsid w:val="007C3133"/>
    <w:rsid w:val="00814EF2"/>
    <w:rsid w:val="008270AE"/>
    <w:rsid w:val="00863623"/>
    <w:rsid w:val="0088368D"/>
    <w:rsid w:val="008A2F3F"/>
    <w:rsid w:val="008B3BBB"/>
    <w:rsid w:val="00907189"/>
    <w:rsid w:val="00944340"/>
    <w:rsid w:val="00967CAC"/>
    <w:rsid w:val="00990A87"/>
    <w:rsid w:val="009E6155"/>
    <w:rsid w:val="009F0D0E"/>
    <w:rsid w:val="00A02DCC"/>
    <w:rsid w:val="00A35CF6"/>
    <w:rsid w:val="00A50DD9"/>
    <w:rsid w:val="00A7633D"/>
    <w:rsid w:val="00AD657D"/>
    <w:rsid w:val="00AE1F66"/>
    <w:rsid w:val="00B13A76"/>
    <w:rsid w:val="00B42FB8"/>
    <w:rsid w:val="00B700CA"/>
    <w:rsid w:val="00B97522"/>
    <w:rsid w:val="00BF268D"/>
    <w:rsid w:val="00C27C8D"/>
    <w:rsid w:val="00C402DB"/>
    <w:rsid w:val="00CA0D8B"/>
    <w:rsid w:val="00CD35A4"/>
    <w:rsid w:val="00CE16E2"/>
    <w:rsid w:val="00D50488"/>
    <w:rsid w:val="00D6264E"/>
    <w:rsid w:val="00E071BC"/>
    <w:rsid w:val="00E3185D"/>
    <w:rsid w:val="00E6531B"/>
    <w:rsid w:val="00E75071"/>
    <w:rsid w:val="00EB5BBE"/>
    <w:rsid w:val="00EF7D95"/>
    <w:rsid w:val="00F66EB9"/>
    <w:rsid w:val="00F839DF"/>
    <w:rsid w:val="00F94D81"/>
    <w:rsid w:val="00FA61B5"/>
    <w:rsid w:val="00FB5EA4"/>
    <w:rsid w:val="00FF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94FF8"/>
  <w15:chartTrackingRefBased/>
  <w15:docId w15:val="{F32E5314-AB3F-4417-AE43-5723F22C5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0A8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8B0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416E9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16E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16E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6E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6E9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E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E9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90A8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ReStart">
    <w:name w:val="ReStart"/>
    <w:basedOn w:val="Normal"/>
    <w:next w:val="Heading1"/>
    <w:rsid w:val="00990A87"/>
    <w:pPr>
      <w:numPr>
        <w:numId w:val="2"/>
      </w:numPr>
      <w:spacing w:after="200" w:line="14" w:lineRule="exact"/>
      <w:jc w:val="left"/>
    </w:pPr>
    <w:rPr>
      <w:rFonts w:ascii="Calibri" w:eastAsia="Times New Roman" w:hAnsi="Calibri" w:cs="Times New Roman"/>
      <w:lang w:val="en-US" w:bidi="en-US"/>
    </w:rPr>
  </w:style>
  <w:style w:type="paragraph" w:customStyle="1" w:styleId="SubSection">
    <w:name w:val="SubSection"/>
    <w:basedOn w:val="Normal"/>
    <w:next w:val="Heading1"/>
    <w:rsid w:val="00990A87"/>
    <w:pPr>
      <w:numPr>
        <w:ilvl w:val="1"/>
        <w:numId w:val="2"/>
      </w:numPr>
      <w:spacing w:before="240" w:after="200" w:line="276" w:lineRule="auto"/>
      <w:jc w:val="center"/>
    </w:pPr>
    <w:rPr>
      <w:rFonts w:ascii="Calibri" w:eastAsia="Times New Roman" w:hAnsi="Calibri" w:cs="Times New Roman"/>
      <w:b/>
      <w:caps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24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rial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626BA7C21A4F43A052DF37B2683ED4" ma:contentTypeVersion="13" ma:contentTypeDescription="Create a new document." ma:contentTypeScope="" ma:versionID="385bab8124d90eca356f6d8bfdb16a29">
  <xsd:schema xmlns:xsd="http://www.w3.org/2001/XMLSchema" xmlns:xs="http://www.w3.org/2001/XMLSchema" xmlns:p="http://schemas.microsoft.com/office/2006/metadata/properties" xmlns:ns2="5777a5dd-8e7e-44e5-a13d-d1c67be32034" xmlns:ns3="2510f061-18b4-4fbd-a88a-eae6725c0dca" targetNamespace="http://schemas.microsoft.com/office/2006/metadata/properties" ma:root="true" ma:fieldsID="4521ba435be7b6026f61a6c250b72998" ns2:_="" ns3:_="">
    <xsd:import namespace="5777a5dd-8e7e-44e5-a13d-d1c67be32034"/>
    <xsd:import namespace="2510f061-18b4-4fbd-a88a-eae6725c0d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77a5dd-8e7e-44e5-a13d-d1c67be320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10f061-18b4-4fbd-a88a-eae6725c0dc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B458A3-5CA5-401F-8CAC-8DB01D035231}"/>
</file>

<file path=customXml/itemProps2.xml><?xml version="1.0" encoding="utf-8"?>
<ds:datastoreItem xmlns:ds="http://schemas.openxmlformats.org/officeDocument/2006/customXml" ds:itemID="{F2283ABC-D94D-48B8-9006-61396291B6E6}"/>
</file>

<file path=customXml/itemProps3.xml><?xml version="1.0" encoding="utf-8"?>
<ds:datastoreItem xmlns:ds="http://schemas.openxmlformats.org/officeDocument/2006/customXml" ds:itemID="{CB603BF0-F8FE-4B6B-8491-A3DE6B65C8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Oates</dc:creator>
  <cp:keywords/>
  <dc:description/>
  <cp:lastModifiedBy>David Robinson Business Adviser Ltd</cp:lastModifiedBy>
  <cp:revision>2</cp:revision>
  <cp:lastPrinted>2021-01-27T12:12:00Z</cp:lastPrinted>
  <dcterms:created xsi:type="dcterms:W3CDTF">2021-09-23T08:06:00Z</dcterms:created>
  <dcterms:modified xsi:type="dcterms:W3CDTF">2021-09-23T08:06:00Z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coverActionType">
    <vt:lpwstr>edit-document</vt:lpwstr>
  </property>
  <property fmtid="{D5CDD505-2E9C-101B-9397-08002B2CF9AE}" pid="3" name="RecoverXML">
    <vt:lpwstr>C:\Users\H.Hirst\AppData\Local\Temp\SOLTMP\3196\Weds\3196336.xml</vt:lpwstr>
  </property>
  <property fmtid="{D5CDD505-2E9C-101B-9397-08002B2CF9AE}" pid="4" name="ContentTypeId">
    <vt:lpwstr>0x0101007D626BA7C21A4F43A052DF37B2683ED4</vt:lpwstr>
  </property>
</Properties>
</file>